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38" w:rsidRPr="00785338" w:rsidRDefault="00785338" w:rsidP="00785338">
      <w:pPr>
        <w:bidi/>
      </w:pPr>
      <w:r w:rsidRPr="00785338">
        <w:rPr>
          <w:b/>
          <w:bCs/>
          <w:u w:val="single"/>
          <w:rtl/>
          <w:lang w:bidi="he-IL"/>
        </w:rPr>
        <w:t>השירותים הקונסולריים – מידע כללי</w:t>
      </w:r>
    </w:p>
    <w:p w:rsidR="00785338" w:rsidRPr="00785338" w:rsidRDefault="001E688A" w:rsidP="00A1079F">
      <w:pPr>
        <w:bidi/>
        <w:spacing w:after="0"/>
      </w:pPr>
      <w:hyperlink r:id="rId9" w:history="1">
        <w:r w:rsidR="00785338" w:rsidRPr="00785338">
          <w:rPr>
            <w:rStyle w:val="Hyperlink"/>
            <w:rtl/>
            <w:lang w:bidi="he-IL"/>
          </w:rPr>
          <w:t>אנגלית</w:t>
        </w:r>
      </w:hyperlink>
    </w:p>
    <w:p w:rsidR="00785338" w:rsidRPr="00785338" w:rsidRDefault="001E688A" w:rsidP="00A1079F">
      <w:pPr>
        <w:bidi/>
        <w:spacing w:after="0"/>
      </w:pPr>
      <w:hyperlink r:id="rId10" w:history="1">
        <w:r w:rsidR="00785338" w:rsidRPr="00785338">
          <w:rPr>
            <w:rStyle w:val="Hyperlink"/>
            <w:rtl/>
            <w:lang w:bidi="he-IL"/>
          </w:rPr>
          <w:t>שירותים קונסולריים</w:t>
        </w:r>
      </w:hyperlink>
    </w:p>
    <w:p w:rsidR="00785338" w:rsidRPr="00785338" w:rsidRDefault="001E688A" w:rsidP="00A1079F">
      <w:pPr>
        <w:bidi/>
        <w:spacing w:after="0"/>
      </w:pPr>
      <w:hyperlink r:id="rId11" w:history="1">
        <w:r w:rsidR="00785338" w:rsidRPr="00785338">
          <w:rPr>
            <w:rStyle w:val="Hyperlink"/>
            <w:rtl/>
            <w:lang w:bidi="he-IL"/>
          </w:rPr>
          <w:t>אשרות</w:t>
        </w:r>
      </w:hyperlink>
    </w:p>
    <w:p w:rsidR="00785338" w:rsidRDefault="001E688A" w:rsidP="00A1079F">
      <w:pPr>
        <w:bidi/>
        <w:spacing w:after="0"/>
        <w:rPr>
          <w:rStyle w:val="Hyperlink"/>
          <w:rtl/>
          <w:lang w:bidi="he-IL"/>
        </w:rPr>
      </w:pPr>
      <w:hyperlink r:id="rId12" w:history="1">
        <w:r w:rsidR="00785338" w:rsidRPr="00785338">
          <w:rPr>
            <w:rStyle w:val="Hyperlink"/>
            <w:rtl/>
            <w:lang w:bidi="he-IL"/>
          </w:rPr>
          <w:t>רשימה של מסמכים וטופסי הורדה</w:t>
        </w:r>
      </w:hyperlink>
    </w:p>
    <w:p w:rsidR="00A1079F" w:rsidRPr="00785338" w:rsidRDefault="00A1079F" w:rsidP="00A1079F">
      <w:pPr>
        <w:bidi/>
        <w:spacing w:after="0"/>
      </w:pPr>
    </w:p>
    <w:p w:rsidR="00785338" w:rsidRPr="00A1079F" w:rsidRDefault="00785338" w:rsidP="00A1079F">
      <w:pPr>
        <w:pStyle w:val="ListParagraph"/>
        <w:numPr>
          <w:ilvl w:val="0"/>
          <w:numId w:val="7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כתובת הנציגות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>בניין כרומוס, קומה 11</w:t>
      </w:r>
    </w:p>
    <w:p w:rsidR="00785338" w:rsidRPr="00785338" w:rsidRDefault="00785338" w:rsidP="00E077A8">
      <w:pPr>
        <w:bidi/>
        <w:spacing w:after="0"/>
      </w:pPr>
      <w:r w:rsidRPr="00785338">
        <w:rPr>
          <w:rtl/>
          <w:lang w:bidi="he-IL"/>
        </w:rPr>
        <w:t>רחוב גראדה ווקובארה 271, זאגרב</w:t>
      </w:r>
    </w:p>
    <w:p w:rsidR="00785338" w:rsidRPr="00785338" w:rsidRDefault="00785338" w:rsidP="00A1079F">
      <w:pPr>
        <w:bidi/>
        <w:spacing w:after="0"/>
      </w:pPr>
      <w:r w:rsidRPr="00785338">
        <w:rPr>
          <w:rtl/>
          <w:lang w:bidi="he-IL"/>
        </w:rPr>
        <w:t> </w:t>
      </w:r>
    </w:p>
    <w:p w:rsidR="00785338" w:rsidRPr="00A1079F" w:rsidRDefault="00785338" w:rsidP="00E077A8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שעות קבלת קהל לשירות קונסולרי</w:t>
      </w:r>
    </w:p>
    <w:p w:rsidR="00785338" w:rsidRDefault="00785338" w:rsidP="00A1079F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שני-שישי בין השעות 09:00-12:00 </w:t>
      </w:r>
    </w:p>
    <w:p w:rsidR="00E077A8" w:rsidRPr="00785338" w:rsidRDefault="00E077A8" w:rsidP="00A1079F">
      <w:pPr>
        <w:bidi/>
        <w:spacing w:after="0"/>
        <w:rPr>
          <w:rtl/>
          <w:lang w:bidi="he-IL"/>
        </w:rPr>
      </w:pPr>
    </w:p>
    <w:p w:rsidR="00785338" w:rsidRPr="00A1079F" w:rsidRDefault="00785338" w:rsidP="00E077A8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שעות מענה טלפוני לקבלת שירות קונסולרי</w:t>
      </w:r>
    </w:p>
    <w:p w:rsidR="00785338" w:rsidRPr="00785338" w:rsidRDefault="00785338" w:rsidP="00A1079F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טלפון מס' 00-385-1-6169500 בין השעות </w:t>
      </w:r>
      <w:r w:rsidR="00ED7C8F">
        <w:rPr>
          <w:lang w:bidi="he-IL"/>
        </w:rPr>
        <w:t>9:00-14:00</w:t>
      </w:r>
    </w:p>
    <w:p w:rsidR="00785338" w:rsidRPr="00785338" w:rsidRDefault="00785338" w:rsidP="00A1079F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> </w:t>
      </w:r>
    </w:p>
    <w:p w:rsidR="00785338" w:rsidRPr="00A1079F" w:rsidRDefault="00785338" w:rsidP="00E077A8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שטח שיפוט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>קרואטיה.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שירותי אשרות בלבד ניתנים לאזרחי </w:t>
      </w:r>
      <w:r w:rsidR="00ED7C8F">
        <w:rPr>
          <w:rFonts w:hint="cs"/>
          <w:rtl/>
          <w:lang w:bidi="he-IL"/>
        </w:rPr>
        <w:t xml:space="preserve">כל המדינות. </w:t>
      </w:r>
    </w:p>
    <w:p w:rsidR="00785338" w:rsidRDefault="00785338" w:rsidP="00A1079F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> </w:t>
      </w:r>
    </w:p>
    <w:p w:rsidR="00A1079F" w:rsidRPr="00A1079F" w:rsidRDefault="00A1079F" w:rsidP="00A1079F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מאפייני המקום</w:t>
      </w:r>
    </w:p>
    <w:p w:rsidR="00A1079F" w:rsidRPr="00785338" w:rsidRDefault="00A1079F" w:rsidP="00A1079F">
      <w:pPr>
        <w:bidi/>
        <w:rPr>
          <w:lang w:bidi="he-IL"/>
        </w:rPr>
      </w:pPr>
      <w:r w:rsidRPr="00785338">
        <w:rPr>
          <w:rtl/>
          <w:lang w:bidi="he-IL"/>
        </w:rPr>
        <w:t>אזרחים ישראלים המבקשים לבקר בקרואטיה לתקופה של עד שלושה חודשים פטורים מאשרות. אזרח ישראלי המבקש לבקר בקרואטיה לתקופה העולה על שלושה חודשים או מסיבות שאינן תיירותיות (כגון: עבודה, לימודים וכד'), יש לפנות לשגרירות קרואטיה על מנת להסדיר את האשרה. אותו הדבר תקף גם לאזר</w:t>
      </w:r>
      <w:r>
        <w:rPr>
          <w:rtl/>
          <w:lang w:bidi="he-IL"/>
        </w:rPr>
        <w:t>חים קרואטים המבקשים לבקר בישר</w:t>
      </w:r>
      <w:r>
        <w:rPr>
          <w:rFonts w:hint="cs"/>
          <w:rtl/>
          <w:lang w:bidi="he-IL"/>
        </w:rPr>
        <w:t>אל.</w:t>
      </w:r>
    </w:p>
    <w:p w:rsidR="00A1079F" w:rsidRPr="00A1079F" w:rsidRDefault="00A1079F" w:rsidP="00A1079F">
      <w:pPr>
        <w:bidi/>
        <w:spacing w:after="0"/>
        <w:rPr>
          <w:rtl/>
          <w:lang w:bidi="he-IL"/>
        </w:rPr>
      </w:pPr>
    </w:p>
    <w:p w:rsidR="00785338" w:rsidRPr="00A1079F" w:rsidRDefault="00785338" w:rsidP="00E077A8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הנחיות ביטחון למבקשים שירות קונסולרי במשרדי הנציגות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1.      יש להגיע מצוידים בתעודה מזהה עם תמונה. 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2.      יש לקחת בחשבון שכל מבקר/ת יתבקש לעבור בדיקה ביטחונית לו ולחפציו. </w:t>
      </w:r>
    </w:p>
    <w:p w:rsidR="00C329B0" w:rsidRDefault="00785338" w:rsidP="00C329B0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>3.      מתוך שיקולי ביטחון, לא תתאפשר הכנסת חפצים אישיים לנציגות, לרבות תיקי-יד, טלפונים ניידים</w:t>
      </w:r>
    </w:p>
    <w:p w:rsidR="00785338" w:rsidRPr="00785338" w:rsidRDefault="00C329B0" w:rsidP="00C329B0">
      <w:pPr>
        <w:bidi/>
        <w:spacing w:after="0"/>
        <w:rPr>
          <w:rtl/>
          <w:lang w:bidi="he-IL"/>
        </w:rPr>
      </w:pPr>
      <w:r>
        <w:rPr>
          <w:rFonts w:hint="cs"/>
          <w:rtl/>
          <w:lang w:bidi="he-IL"/>
        </w:rPr>
        <w:t xml:space="preserve">         ומכשירים אלקטרוניים. </w:t>
      </w:r>
      <w:r w:rsidR="00785338" w:rsidRPr="00785338">
        <w:rPr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    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4.      אין להגיע לנציגות עם תיקי יד גדולים ו/או מזוודות. 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5.      אין להגיע לנציגות עם מזון ו/או בקבוקי או מכלי שתייה. </w:t>
      </w:r>
    </w:p>
    <w:p w:rsidR="00C329B0" w:rsidRDefault="00785338" w:rsidP="00C329B0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>6.      הנחיות הביטחון של הנציגות יחולו על השוהים בחדר ההמתנה הקונסולרי. יש להישמע בכל עת להנחיות</w:t>
      </w:r>
    </w:p>
    <w:p w:rsidR="00785338" w:rsidRDefault="00C329B0" w:rsidP="00C329B0">
      <w:pPr>
        <w:bidi/>
        <w:spacing w:after="0"/>
        <w:rPr>
          <w:rtl/>
          <w:lang w:bidi="he-IL"/>
        </w:rPr>
      </w:pPr>
      <w:r>
        <w:rPr>
          <w:rFonts w:hint="cs"/>
          <w:rtl/>
          <w:lang w:bidi="he-IL"/>
        </w:rPr>
        <w:t xml:space="preserve">         </w:t>
      </w:r>
      <w:r w:rsidRPr="00785338">
        <w:rPr>
          <w:rtl/>
          <w:lang w:bidi="he-IL"/>
        </w:rPr>
        <w:t xml:space="preserve">צוות הביטחון של הנציגות.  </w:t>
      </w:r>
      <w:r w:rsidR="00785338" w:rsidRPr="00785338">
        <w:rPr>
          <w:rtl/>
          <w:lang w:bidi="he-IL"/>
        </w:rPr>
        <w:t xml:space="preserve"> </w:t>
      </w: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Pr="00785338" w:rsidRDefault="00A1079F" w:rsidP="00A1079F">
      <w:pPr>
        <w:bidi/>
        <w:spacing w:after="0"/>
        <w:rPr>
          <w:rtl/>
          <w:lang w:bidi="he-IL"/>
        </w:rPr>
      </w:pPr>
    </w:p>
    <w:p w:rsidR="00785338" w:rsidRPr="00A1079F" w:rsidRDefault="00785338" w:rsidP="00A1079F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lastRenderedPageBreak/>
        <w:t>משלוח של חומר בדואר</w:t>
      </w:r>
    </w:p>
    <w:p w:rsidR="00785338" w:rsidRPr="00785338" w:rsidRDefault="00785338" w:rsidP="00A1079F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>אין לשלוח חומר קונסולרי/נוטריוני בדואר. הגשת חומר קונסולרי/נוטריוני הינה אישית בלבד.</w:t>
      </w:r>
    </w:p>
    <w:p w:rsidR="00785338" w:rsidRPr="00785338" w:rsidRDefault="00785338" w:rsidP="00A1079F">
      <w:pPr>
        <w:bidi/>
        <w:rPr>
          <w:rtl/>
          <w:lang w:bidi="he-IL"/>
        </w:rPr>
      </w:pPr>
      <w:r w:rsidRPr="00A1079F">
        <w:rPr>
          <w:rtl/>
          <w:lang w:bidi="he-IL"/>
        </w:rPr>
        <w:t xml:space="preserve">האחריות בדבר משלוח לנציגות של חומר בדואר נחה על השולח. </w:t>
      </w:r>
    </w:p>
    <w:p w:rsidR="00785338" w:rsidRDefault="00785338" w:rsidP="00A1079F">
      <w:pPr>
        <w:bidi/>
        <w:rPr>
          <w:rtl/>
          <w:lang w:bidi="he-IL"/>
        </w:rPr>
      </w:pPr>
      <w:r w:rsidRPr="00785338">
        <w:rPr>
          <w:b/>
          <w:bCs/>
          <w:rtl/>
          <w:lang w:bidi="he-IL"/>
        </w:rPr>
        <w:t>חשוב להדגיש כי קיימים מקרים בהם קיימת חובת התייצבות אישית. אשר למידע יותר מפורט, ראה בפרק מס' 2, "שירותים קונסולריים."</w:t>
      </w:r>
    </w:p>
    <w:p w:rsidR="00A1079F" w:rsidRPr="00785338" w:rsidRDefault="00A1079F" w:rsidP="00A1079F">
      <w:pPr>
        <w:bidi/>
        <w:spacing w:after="0"/>
        <w:rPr>
          <w:rtl/>
          <w:lang w:bidi="he-IL"/>
        </w:rPr>
      </w:pPr>
    </w:p>
    <w:p w:rsidR="00785338" w:rsidRPr="00A1079F" w:rsidRDefault="00785338" w:rsidP="00A1079F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רשימת מתורגמנים מוסמכים העובדים עם הנציגות</w:t>
      </w:r>
    </w:p>
    <w:p w:rsidR="00785338" w:rsidRPr="00785338" w:rsidRDefault="00785338" w:rsidP="00A1079F">
      <w:pPr>
        <w:bidi/>
        <w:spacing w:after="0" w:line="360" w:lineRule="auto"/>
        <w:rPr>
          <w:rtl/>
          <w:lang w:bidi="he-IL"/>
        </w:rPr>
      </w:pPr>
      <w:r w:rsidRPr="00785338">
        <w:rPr>
          <w:rtl/>
          <w:lang w:bidi="he-IL"/>
        </w:rPr>
        <w:t>אם יש צורך בשירותי תרגום מסמכים מש</w:t>
      </w:r>
      <w:r w:rsidR="00A1079F">
        <w:rPr>
          <w:rtl/>
          <w:lang w:bidi="he-IL"/>
        </w:rPr>
        <w:t>פת המקום לעברית או ניתן לפנות ל</w:t>
      </w:r>
      <w:r w:rsidRPr="00785338">
        <w:rPr>
          <w:rtl/>
          <w:lang w:bidi="he-IL"/>
        </w:rPr>
        <w:t xml:space="preserve">גב' </w:t>
      </w:r>
      <w:proofErr w:type="spellStart"/>
      <w:r w:rsidR="00ED7C8F">
        <w:rPr>
          <w:rFonts w:hint="cs"/>
          <w:rtl/>
          <w:lang w:bidi="he-IL"/>
        </w:rPr>
        <w:t>דוריאנה</w:t>
      </w:r>
      <w:proofErr w:type="spellEnd"/>
      <w:r w:rsidR="00ED7C8F">
        <w:rPr>
          <w:rFonts w:hint="cs"/>
          <w:rtl/>
          <w:lang w:bidi="he-IL"/>
        </w:rPr>
        <w:t xml:space="preserve"> כהן </w:t>
      </w:r>
      <w:r w:rsidR="00ED7C8F">
        <w:rPr>
          <w:rtl/>
          <w:lang w:bidi="he-IL"/>
        </w:rPr>
        <w:t>–</w:t>
      </w:r>
      <w:r w:rsidR="00ED7C8F">
        <w:rPr>
          <w:rFonts w:hint="cs"/>
          <w:rtl/>
          <w:lang w:bidi="he-IL"/>
        </w:rPr>
        <w:t xml:space="preserve"> 095-8808-139</w:t>
      </w:r>
    </w:p>
    <w:p w:rsidR="00785338" w:rsidRPr="00E077A8" w:rsidRDefault="00785338" w:rsidP="00A1079F">
      <w:pPr>
        <w:bidi/>
        <w:spacing w:line="360" w:lineRule="auto"/>
        <w:rPr>
          <w:b/>
          <w:bCs/>
          <w:u w:val="single"/>
          <w:rtl/>
          <w:lang w:bidi="he-IL"/>
        </w:rPr>
      </w:pPr>
      <w:r w:rsidRPr="00E077A8">
        <w:rPr>
          <w:b/>
          <w:bCs/>
          <w:u w:val="single"/>
          <w:rtl/>
          <w:lang w:bidi="he-IL"/>
        </w:rPr>
        <w:t>יובהר בזאת כי אין מדובר בהמלצה.</w:t>
      </w:r>
      <w:r w:rsidR="00E077A8" w:rsidRPr="00E077A8">
        <w:rPr>
          <w:rFonts w:hint="cs"/>
          <w:b/>
          <w:bCs/>
          <w:u w:val="single"/>
          <w:rtl/>
          <w:lang w:bidi="he-IL"/>
        </w:rPr>
        <w:t xml:space="preserve"> </w:t>
      </w:r>
      <w:r w:rsidRPr="00E077A8">
        <w:rPr>
          <w:b/>
          <w:bCs/>
          <w:u w:val="single"/>
          <w:rtl/>
          <w:lang w:bidi="he-IL"/>
        </w:rPr>
        <w:t xml:space="preserve">השימוש בשירותיהם של המתורגמנים השונים הוא באחריות הפונה. </w:t>
      </w:r>
    </w:p>
    <w:p w:rsidR="00785338" w:rsidRPr="00785338" w:rsidRDefault="00785338" w:rsidP="00A1079F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> </w:t>
      </w:r>
    </w:p>
    <w:p w:rsidR="00785338" w:rsidRPr="00A1079F" w:rsidRDefault="00A1079F" w:rsidP="00A1079F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>
        <w:rPr>
          <w:b/>
          <w:bCs/>
          <w:sz w:val="24"/>
          <w:szCs w:val="24"/>
          <w:u w:val="single"/>
          <w:rtl/>
          <w:lang w:bidi="he-IL"/>
        </w:rPr>
        <w:t xml:space="preserve">רשימת עורכי-דין </w:t>
      </w:r>
      <w:r w:rsidR="00785338" w:rsidRPr="00A1079F">
        <w:rPr>
          <w:b/>
          <w:bCs/>
          <w:sz w:val="24"/>
          <w:szCs w:val="24"/>
          <w:u w:val="single"/>
          <w:rtl/>
          <w:lang w:bidi="he-IL"/>
        </w:rPr>
        <w:t>המתמחים בפלילים</w:t>
      </w:r>
    </w:p>
    <w:p w:rsidR="00785338" w:rsidRPr="00785338" w:rsidRDefault="00785338" w:rsidP="00785338">
      <w:pPr>
        <w:bidi/>
        <w:rPr>
          <w:rtl/>
          <w:lang w:bidi="he-IL"/>
        </w:rPr>
      </w:pPr>
      <w:r w:rsidRPr="00785338">
        <w:rPr>
          <w:rtl/>
          <w:lang w:bidi="he-IL"/>
        </w:rPr>
        <w:t>להלן קישור ללשכת עורכי הדין של קרואטיה בה ניתן להיעזר במידת הצורך. הנציגות איננה מורשית או מוסמכת להמליץ על עו''ד כזה או אחר.</w:t>
      </w:r>
    </w:p>
    <w:p w:rsidR="00785338" w:rsidRPr="00785338" w:rsidRDefault="001E688A" w:rsidP="00E077A8">
      <w:pPr>
        <w:bidi/>
        <w:rPr>
          <w:rtl/>
          <w:lang w:bidi="he-IL"/>
        </w:rPr>
      </w:pPr>
      <w:hyperlink r:id="rId13" w:history="1">
        <w:r w:rsidR="00785338" w:rsidRPr="00785338">
          <w:rPr>
            <w:rStyle w:val="Hyperlink"/>
          </w:rPr>
          <w:t>http://www.hok-cba.hr/en</w:t>
        </w:r>
      </w:hyperlink>
    </w:p>
    <w:p w:rsidR="00E077A8" w:rsidRDefault="00785338" w:rsidP="00A1079F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יובהר בזאת כי אין ברשימה זו משום המלצה על מי מבין עורכי-הדין המופיעים ברשימה לעיל. השימוש בשירותיהם של עורכי הדין השונים היא באחריות הפונה.  </w:t>
      </w: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Pr="00A1079F" w:rsidRDefault="00A1079F" w:rsidP="00A1079F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פרטי שליח העלייה של הסוכנות היהודית</w:t>
      </w:r>
    </w:p>
    <w:p w:rsidR="00A1079F" w:rsidRPr="00785338" w:rsidRDefault="00A1079F" w:rsidP="00A1079F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לקבלת מידע על המשרדים הראשיים של משרד הסוכנות היהודית ברחבי העולם יש להקליק על הקישור הבא: </w:t>
      </w:r>
    </w:p>
    <w:p w:rsidR="00A1079F" w:rsidRPr="00785338" w:rsidRDefault="001E688A" w:rsidP="00A1079F">
      <w:pPr>
        <w:bidi/>
        <w:rPr>
          <w:rtl/>
          <w:lang w:bidi="he-IL"/>
        </w:rPr>
      </w:pPr>
      <w:hyperlink r:id="rId14" w:history="1">
        <w:r w:rsidR="00A1079F" w:rsidRPr="00785338">
          <w:rPr>
            <w:rStyle w:val="Hyperlink"/>
          </w:rPr>
          <w:t>http://www.jewishagency.org/JewishAgency/Hebrew/Home/info/offices+in+the+diaspora/</w:t>
        </w:r>
      </w:hyperlink>
      <w:r w:rsidR="00A1079F" w:rsidRPr="00785338">
        <w:t xml:space="preserve"> </w:t>
      </w:r>
    </w:p>
    <w:p w:rsidR="00A1079F" w:rsidRPr="00785338" w:rsidRDefault="00A1079F" w:rsidP="00A1079F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להלן הפרטים של שליח הסוכנות היהודית באזורך: משרד סוכנות היהודית המספק שירותים גם לקרואטיה ממוקם בבלגרד. למידע נא לפנות </w:t>
      </w:r>
      <w:proofErr w:type="spellStart"/>
      <w:r w:rsidRPr="00785338">
        <w:rPr>
          <w:rtl/>
          <w:lang w:bidi="he-IL"/>
        </w:rPr>
        <w:t>למירוסלאב</w:t>
      </w:r>
      <w:proofErr w:type="spellEnd"/>
      <w:r w:rsidRPr="00785338">
        <w:rPr>
          <w:rtl/>
          <w:lang w:bidi="he-IL"/>
        </w:rPr>
        <w:t xml:space="preserve"> </w:t>
      </w:r>
      <w:proofErr w:type="spellStart"/>
      <w:r w:rsidRPr="00785338">
        <w:rPr>
          <w:rtl/>
          <w:lang w:bidi="he-IL"/>
        </w:rPr>
        <w:t>גרינוולד</w:t>
      </w:r>
      <w:proofErr w:type="spellEnd"/>
      <w:r w:rsidRPr="00785338">
        <w:rPr>
          <w:rtl/>
          <w:lang w:bidi="he-IL"/>
        </w:rPr>
        <w:t xml:space="preserve"> בטל. 00-381-1-12621837 </w:t>
      </w: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Pr="00A1079F" w:rsidRDefault="00A1079F" w:rsidP="00A1079F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יצירת קשר ופניות בנושא שיפור השירות לאזרח</w:t>
      </w:r>
    </w:p>
    <w:p w:rsidR="00A1079F" w:rsidRPr="00785338" w:rsidRDefault="00A1079F" w:rsidP="00A1079F">
      <w:pPr>
        <w:bidi/>
        <w:rPr>
          <w:rtl/>
          <w:lang w:bidi="he-IL"/>
        </w:rPr>
      </w:pPr>
      <w:r w:rsidRPr="00785338">
        <w:rPr>
          <w:bCs/>
          <w:rtl/>
          <w:lang w:bidi="he-IL"/>
        </w:rPr>
        <w:t xml:space="preserve"> </w:t>
      </w:r>
      <w:r w:rsidRPr="00785338">
        <w:rPr>
          <w:rtl/>
          <w:lang w:bidi="he-IL"/>
        </w:rPr>
        <w:t xml:space="preserve">ניתן ליצור קשר באמצעות הדואר האלקטרוני </w:t>
      </w:r>
      <w:r>
        <w:rPr>
          <w:rFonts w:hint="cs"/>
          <w:rtl/>
          <w:lang w:bidi="he-IL"/>
        </w:rPr>
        <w:t xml:space="preserve">בכתובת: </w:t>
      </w:r>
      <w:r w:rsidRPr="00785338">
        <w:rPr>
          <w:rtl/>
          <w:lang w:bidi="he-IL"/>
        </w:rPr>
        <w:t xml:space="preserve"> </w:t>
      </w:r>
      <w:hyperlink r:id="rId15" w:history="1">
        <w:r w:rsidRPr="00785338">
          <w:rPr>
            <w:rStyle w:val="Hyperlink"/>
          </w:rPr>
          <w:t>consular@zagreb.mfa.gov.il</w:t>
        </w:r>
      </w:hyperlink>
    </w:p>
    <w:p w:rsidR="00A1079F" w:rsidRPr="00785338" w:rsidRDefault="00A1079F" w:rsidP="00A1079F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 למשוב על איכות השירות שנותנת הנציגות לאזרח יש להיכנס לקישור זה: </w:t>
      </w:r>
    </w:p>
    <w:p w:rsidR="00A1079F" w:rsidRPr="00785338" w:rsidRDefault="001E688A" w:rsidP="00A1079F">
      <w:pPr>
        <w:bidi/>
        <w:rPr>
          <w:rtl/>
          <w:lang w:bidi="he-IL"/>
        </w:rPr>
      </w:pPr>
      <w:hyperlink r:id="rId16" w:history="1">
        <w:r w:rsidR="00A1079F" w:rsidRPr="00785338">
          <w:rPr>
            <w:rStyle w:val="Hyperlink"/>
          </w:rPr>
          <w:t>http://www.mfa.gov.il/mfaheb/feedbackform.htm</w:t>
        </w:r>
      </w:hyperlink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A1079F" w:rsidRDefault="00A1079F" w:rsidP="00A1079F">
      <w:pPr>
        <w:bidi/>
        <w:spacing w:after="0"/>
        <w:rPr>
          <w:rtl/>
          <w:lang w:bidi="he-IL"/>
        </w:rPr>
      </w:pPr>
    </w:p>
    <w:p w:rsidR="00785338" w:rsidRPr="00A1079F" w:rsidRDefault="00785338" w:rsidP="00A1079F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אימות מסמך ציבורי</w:t>
      </w:r>
    </w:p>
    <w:p w:rsidR="00785338" w:rsidRPr="00785338" w:rsidRDefault="00785338" w:rsidP="00ED7C8F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 קיימות שתי אפשרויות לאימות מסמך ציבורי: </w:t>
      </w:r>
    </w:p>
    <w:p w:rsidR="00785338" w:rsidRPr="00785338" w:rsidRDefault="00785338" w:rsidP="00785338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1.      </w:t>
      </w:r>
      <w:r w:rsidRPr="00785338">
        <w:rPr>
          <w:u w:val="single"/>
          <w:rtl/>
          <w:lang w:bidi="he-IL"/>
        </w:rPr>
        <w:t>אימות מסמך באמצעות אישור אפוסטיל</w:t>
      </w:r>
    </w:p>
    <w:p w:rsidR="00785338" w:rsidRPr="00785338" w:rsidRDefault="00785338" w:rsidP="00ED7C8F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ישראל חתמה ואשררה בשנת 1978 את "אמנת האג בדבר ביטול </w:t>
      </w:r>
      <w:bookmarkStart w:id="0" w:name="OLE_LINK2"/>
      <w:bookmarkStart w:id="1" w:name="OLE_LINK1"/>
      <w:r w:rsidRPr="00785338">
        <w:rPr>
          <w:rtl/>
          <w:lang w:bidi="he-IL"/>
        </w:rPr>
        <w:t xml:space="preserve">דרישת האימות למסמכי חוץ ציבוריים </w:t>
      </w:r>
      <w:bookmarkEnd w:id="0"/>
      <w:bookmarkEnd w:id="1"/>
      <w:r w:rsidRPr="00785338">
        <w:rPr>
          <w:rtl/>
          <w:lang w:bidi="he-IL"/>
        </w:rPr>
        <w:t xml:space="preserve">– 1961" (להלן: אמנת האג). מטרת אמנה זו לקצר את ההליכים הנדרשים כדי שתכיר מדינה מסוימת במסמכים רשמיים שהוצאו במדינה אחרת , וזאת באמצעות "אישור </w:t>
      </w:r>
      <w:proofErr w:type="spellStart"/>
      <w:r w:rsidRPr="00785338">
        <w:rPr>
          <w:rtl/>
          <w:lang w:bidi="he-IL"/>
        </w:rPr>
        <w:t>אפוסטיל</w:t>
      </w:r>
      <w:proofErr w:type="spellEnd"/>
      <w:r w:rsidRPr="00785338">
        <w:rPr>
          <w:rtl/>
          <w:lang w:bidi="he-IL"/>
        </w:rPr>
        <w:t>."</w:t>
      </w:r>
    </w:p>
    <w:p w:rsidR="00785338" w:rsidRPr="00785338" w:rsidRDefault="00785338" w:rsidP="00ED7C8F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יובהר כי מסמכים ותעודות ציבוריות שהוצאו באחת מהמדינות החברות באמנה הנ"ל והוחתמו בה בחותמת אפוסטיל, תקפים לצורך הצגתם בישראל, ללא צורך באימות/אישור נוסף מאת הנציג הדיפלומטי/קונסולרי בנציגות הישראלית. </w:t>
      </w:r>
    </w:p>
    <w:p w:rsidR="00785338" w:rsidRPr="00785338" w:rsidRDefault="00785338" w:rsidP="00785338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כמו כן, בעבור מדינות החתומות על אמנת האג, לא יידרש כל אימות נוסף של קונסול נציגות המדינה אליה מיועד המסמך אם הוחתם בישראל בחותמת אפוסטיל. 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 בנוגע לרשימת המדינות החתומות על האמנה, וכן פירוט על הרשות המוסמכת להענקת אישורי אפוסטיל בכל מדינה, וכן למידע נוסף ראה הקישור הזה: </w:t>
      </w:r>
    </w:p>
    <w:p w:rsidR="00785338" w:rsidRPr="00785338" w:rsidRDefault="00785338" w:rsidP="00ED7C8F">
      <w:pPr>
        <w:bidi/>
        <w:rPr>
          <w:rtl/>
          <w:lang w:bidi="he-IL"/>
        </w:rPr>
      </w:pPr>
      <w:r w:rsidRPr="00785338">
        <w:rPr>
          <w:rtl/>
          <w:lang w:bidi="he-IL"/>
        </w:rPr>
        <w:t> </w:t>
      </w:r>
      <w:hyperlink r:id="rId17" w:history="1">
        <w:r w:rsidRPr="00785338">
          <w:rPr>
            <w:rStyle w:val="Hyperlink"/>
          </w:rPr>
          <w:t>http://www.hcch.net/index_en.php?act=conventions.authorities&amp;cid=17</w:t>
        </w:r>
      </w:hyperlink>
      <w:r w:rsidRPr="00785338">
        <w:t xml:space="preserve"> </w:t>
      </w:r>
    </w:p>
    <w:p w:rsidR="00785338" w:rsidRPr="00785338" w:rsidRDefault="00785338" w:rsidP="00785338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בקרואטיה, חותמת </w:t>
      </w:r>
      <w:proofErr w:type="spellStart"/>
      <w:r w:rsidRPr="00785338">
        <w:rPr>
          <w:rtl/>
          <w:lang w:bidi="he-IL"/>
        </w:rPr>
        <w:t>אפוסטיל</w:t>
      </w:r>
      <w:proofErr w:type="spellEnd"/>
      <w:r w:rsidRPr="00785338">
        <w:rPr>
          <w:rtl/>
          <w:lang w:bidi="he-IL"/>
        </w:rPr>
        <w:t xml:space="preserve"> ניתנת ע"י בתי המשפט המחוזיים או משרד המשפטים הקרואטי.</w:t>
      </w:r>
    </w:p>
    <w:p w:rsidR="00785338" w:rsidRPr="00785338" w:rsidRDefault="00785338" w:rsidP="00785338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2.      </w:t>
      </w:r>
      <w:r w:rsidRPr="00785338">
        <w:rPr>
          <w:u w:val="single"/>
          <w:rtl/>
          <w:lang w:bidi="he-IL"/>
        </w:rPr>
        <w:t>אימות שלא באמצעות אישור אפוסטיל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אימות מסמך במדינה שאינה חתומה על אמנת האג ייעשה באופן הבא: </w:t>
      </w:r>
    </w:p>
    <w:p w:rsidR="00E077A8" w:rsidRDefault="00785338" w:rsidP="00A1079F">
      <w:pPr>
        <w:bidi/>
        <w:rPr>
          <w:rtl/>
          <w:lang w:bidi="he-IL"/>
        </w:rPr>
      </w:pPr>
      <w:r w:rsidRPr="00785338">
        <w:rPr>
          <w:rtl/>
          <w:lang w:bidi="he-IL"/>
        </w:rPr>
        <w:t xml:space="preserve">לאחר שהמסמך אומת על-ידי הרשות המוסמכת במדינה הזרה (בדרך כלל משרד החוץ או משרד המשפטים) יאמת הנציג הישראלי את חתימת הרשות המוסמכת. </w:t>
      </w:r>
    </w:p>
    <w:p w:rsidR="00A1079F" w:rsidRPr="00A1079F" w:rsidRDefault="00A1079F" w:rsidP="00A1079F">
      <w:pPr>
        <w:bidi/>
        <w:spacing w:after="0"/>
        <w:rPr>
          <w:rtl/>
          <w:lang w:bidi="he-IL"/>
        </w:rPr>
      </w:pPr>
    </w:p>
    <w:p w:rsidR="00785338" w:rsidRPr="00A1079F" w:rsidRDefault="00785338" w:rsidP="00A1079F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  <w:lang w:bidi="he-IL"/>
        </w:rPr>
      </w:pPr>
      <w:r w:rsidRPr="00A1079F">
        <w:rPr>
          <w:b/>
          <w:bCs/>
          <w:sz w:val="24"/>
          <w:szCs w:val="24"/>
          <w:u w:val="single"/>
          <w:rtl/>
          <w:lang w:bidi="he-IL"/>
        </w:rPr>
        <w:t>חוקים עיקריים של מדינת ישראל שעליהם מבוססת העבודה הקונסולרית בחו''ל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>חוק השבות תש"י, 1950</w:t>
      </w:r>
      <w:r w:rsidRPr="00785338">
        <w:rPr>
          <w:rtl/>
          <w:lang w:bidi="he-IL"/>
        </w:rPr>
        <w:t xml:space="preserve"> – על כל התיקונים שהוכנסו בו לאורך השנים.</w:t>
      </w:r>
      <w:proofErr w:type="gramEnd"/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>חוק הכניסה לישראל, תשי"ב, 1952</w:t>
      </w:r>
      <w:r w:rsidRPr="00785338">
        <w:rPr>
          <w:rtl/>
          <w:lang w:bidi="he-IL"/>
        </w:rPr>
        <w:t xml:space="preserve"> – על כל התיקונים שהוכנסו בו לאורך השנים.</w:t>
      </w:r>
      <w:proofErr w:type="gramEnd"/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>חוק האזרחות, תשי"ב, 1952</w:t>
      </w:r>
      <w:r w:rsidRPr="00785338">
        <w:rPr>
          <w:rtl/>
          <w:lang w:bidi="he-IL"/>
        </w:rPr>
        <w:t xml:space="preserve"> – על כל התיקונים שהוכנסו בו לאורך השנים.</w:t>
      </w:r>
      <w:proofErr w:type="gramEnd"/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>חוק הדרכונים, תשי"ב, 1952</w:t>
      </w:r>
      <w:r w:rsidRPr="00785338">
        <w:rPr>
          <w:rtl/>
          <w:lang w:bidi="he-IL"/>
        </w:rPr>
        <w:t xml:space="preserve"> – על כל התיקונים שהוכנסו בו לאורך השנים.</w:t>
      </w:r>
      <w:proofErr w:type="gramEnd"/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>חוק השמות, התשט"ז, 1956</w:t>
      </w:r>
      <w:r w:rsidRPr="00785338">
        <w:rPr>
          <w:rtl/>
          <w:lang w:bidi="he-IL"/>
        </w:rPr>
        <w:t xml:space="preserve"> – על כך התיקונים שהוכנסו בו לאורך השנים.</w:t>
      </w:r>
      <w:proofErr w:type="gramEnd"/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>חוק מרשם האוכלוסין, התשכ"ה, 1965</w:t>
      </w:r>
      <w:r w:rsidRPr="00785338">
        <w:rPr>
          <w:rtl/>
          <w:lang w:bidi="he-IL"/>
        </w:rPr>
        <w:t xml:space="preserve"> – על כל התיקונים שהוכנסו בו לאורך השנים.</w:t>
      </w:r>
      <w:proofErr w:type="gramEnd"/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>חוק הנוטריונים, תשל"ו, 1976</w:t>
      </w:r>
      <w:r w:rsidRPr="00785338">
        <w:rPr>
          <w:rtl/>
          <w:lang w:bidi="he-IL"/>
        </w:rPr>
        <w:t xml:space="preserve"> – על כל התיקונים שהוכנסו בו לאורך השנים.</w:t>
      </w:r>
      <w:proofErr w:type="gramEnd"/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>חוק שירות ביטחון (נוסח משולב) התשמ"ז, 1986 והסמכות לביצועו בחו''ל</w:t>
      </w:r>
      <w:r w:rsidRPr="00785338">
        <w:rPr>
          <w:rtl/>
          <w:lang w:bidi="he-IL"/>
        </w:rPr>
        <w:t xml:space="preserve"> – על כל התיקונים שהוכנסו בו לאורך השנים.</w:t>
      </w:r>
      <w:proofErr w:type="gramEnd"/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proofErr w:type="gramStart"/>
      <w:r w:rsidRPr="00785338">
        <w:t>·</w:t>
      </w:r>
      <w:r w:rsidRPr="00785338">
        <w:rPr>
          <w:rtl/>
          <w:lang w:bidi="he-IL"/>
        </w:rPr>
        <w:t xml:space="preserve">         </w:t>
      </w:r>
      <w:r w:rsidRPr="00785338">
        <w:rPr>
          <w:b/>
          <w:bCs/>
          <w:rtl/>
          <w:lang w:bidi="he-IL"/>
        </w:rPr>
        <w:t xml:space="preserve">חוק המרשם הפלילי ותקנת השבים, התשמ"א, 1981 </w:t>
      </w:r>
      <w:r w:rsidRPr="00785338">
        <w:rPr>
          <w:rtl/>
          <w:lang w:bidi="he-IL"/>
        </w:rPr>
        <w:t>– על כל התיקונים שהוכנסו בו לאורך השנים.</w:t>
      </w:r>
      <w:proofErr w:type="gramEnd"/>
      <w:r w:rsidRPr="00785338">
        <w:rPr>
          <w:rtl/>
          <w:lang w:bidi="he-IL"/>
        </w:rPr>
        <w:t xml:space="preserve"> </w:t>
      </w:r>
    </w:p>
    <w:p w:rsidR="00785338" w:rsidRPr="00785338" w:rsidRDefault="00785338" w:rsidP="00785338">
      <w:pPr>
        <w:bidi/>
        <w:rPr>
          <w:rtl/>
          <w:lang w:bidi="he-IL"/>
        </w:rPr>
      </w:pPr>
      <w:r w:rsidRPr="00785338">
        <w:rPr>
          <w:rtl/>
          <w:lang w:bidi="he-IL"/>
        </w:rPr>
        <w:t> </w:t>
      </w:r>
    </w:p>
    <w:p w:rsidR="00785338" w:rsidRPr="00785338" w:rsidRDefault="00785338" w:rsidP="00785338">
      <w:pPr>
        <w:bidi/>
        <w:rPr>
          <w:lang w:bidi="he-IL"/>
        </w:rPr>
      </w:pPr>
      <w:r w:rsidRPr="00785338">
        <w:rPr>
          <w:rtl/>
          <w:lang w:bidi="he-IL"/>
        </w:rPr>
        <w:t>ניתן לעיין בחוקים השונים באתר משרד הפנים שכתובתו:</w:t>
      </w:r>
      <w:r w:rsidRPr="00785338">
        <w:t xml:space="preserve"> </w:t>
      </w:r>
      <w:hyperlink r:id="rId18" w:history="1">
        <w:r w:rsidRPr="00785338">
          <w:rPr>
            <w:rStyle w:val="Hyperlink"/>
          </w:rPr>
          <w:t>http://www.moin.gov.il</w:t>
        </w:r>
      </w:hyperlink>
      <w:r w:rsidRPr="00785338">
        <w:rPr>
          <w:rtl/>
          <w:lang w:bidi="he-IL"/>
        </w:rPr>
        <w:t xml:space="preserve"> (יש</w:t>
      </w:r>
      <w:r w:rsidR="00E077A8">
        <w:rPr>
          <w:rtl/>
          <w:lang w:bidi="he-IL"/>
        </w:rPr>
        <w:t xml:space="preserve"> להקיש בחיפוש את המילה "חוקים".</w:t>
      </w:r>
      <w:r w:rsidR="00E077A8">
        <w:rPr>
          <w:lang w:bidi="he-IL"/>
        </w:rPr>
        <w:t>(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lastRenderedPageBreak/>
        <w:t xml:space="preserve"> בנוגע לחוק שירות הביטחון (נוסח משולב) התשמ"ז 1981, יש לפנות לקישור הבא: </w:t>
      </w:r>
    </w:p>
    <w:p w:rsidR="00785338" w:rsidRPr="00785338" w:rsidRDefault="001E688A" w:rsidP="00785338">
      <w:pPr>
        <w:bidi/>
        <w:rPr>
          <w:rtl/>
          <w:lang w:bidi="he-IL"/>
        </w:rPr>
      </w:pPr>
      <w:hyperlink r:id="rId19" w:history="1">
        <w:r w:rsidR="00785338" w:rsidRPr="00785338">
          <w:rPr>
            <w:rStyle w:val="Hyperlink"/>
          </w:rPr>
          <w:t>http://www.btl.gov.il/laws/btlLaws.aspx?lawid=7997</w:t>
        </w:r>
      </w:hyperlink>
      <w:r w:rsidR="00785338" w:rsidRPr="00785338">
        <w:rPr>
          <w:rtl/>
          <w:lang w:bidi="he-IL"/>
        </w:rPr>
        <w:t xml:space="preserve"> </w:t>
      </w:r>
    </w:p>
    <w:p w:rsidR="00785338" w:rsidRPr="00785338" w:rsidRDefault="00785338" w:rsidP="00E077A8">
      <w:pPr>
        <w:bidi/>
        <w:spacing w:after="0"/>
        <w:rPr>
          <w:rtl/>
          <w:lang w:bidi="he-IL"/>
        </w:rPr>
      </w:pPr>
      <w:r w:rsidRPr="00785338">
        <w:rPr>
          <w:rtl/>
          <w:lang w:bidi="he-IL"/>
        </w:rPr>
        <w:t xml:space="preserve">בנוגע לחוק המרשם הפלילי ותקנת השבים, התשמ"א, 1981, יש לפנות לקישור הבא: </w:t>
      </w:r>
    </w:p>
    <w:p w:rsidR="00785338" w:rsidRPr="00785338" w:rsidRDefault="001E688A" w:rsidP="00785338">
      <w:pPr>
        <w:bidi/>
        <w:rPr>
          <w:rtl/>
          <w:lang w:bidi="he-IL"/>
        </w:rPr>
      </w:pPr>
      <w:hyperlink r:id="rId20" w:history="1">
        <w:r w:rsidR="00785338" w:rsidRPr="00785338">
          <w:rPr>
            <w:rStyle w:val="Hyperlink"/>
          </w:rPr>
          <w:t>http://www.justice.gov.il/NR/rdonlyres/9640D707-9805-49C2-A90E-529E54BF849D/0/hokmirsham.doc</w:t>
        </w:r>
      </w:hyperlink>
      <w:r w:rsidR="00785338" w:rsidRPr="00785338">
        <w:rPr>
          <w:rFonts w:hint="cs"/>
          <w:rtl/>
          <w:lang w:bidi="he-IL"/>
        </w:rPr>
        <w:t xml:space="preserve"> </w:t>
      </w:r>
    </w:p>
    <w:p w:rsidR="001E688A" w:rsidRDefault="00785338" w:rsidP="001E688A">
      <w:pPr>
        <w:bidi/>
        <w:rPr>
          <w:rtl/>
          <w:lang w:bidi="he-IL"/>
        </w:rPr>
      </w:pPr>
      <w:r w:rsidRPr="00785338">
        <w:rPr>
          <w:rtl/>
          <w:lang w:bidi="he-IL"/>
        </w:rPr>
        <w:t> </w:t>
      </w:r>
    </w:p>
    <w:p w:rsidR="001E688A" w:rsidRPr="001E688A" w:rsidRDefault="001E688A" w:rsidP="001E688A">
      <w:pPr>
        <w:pStyle w:val="ListParagraph"/>
        <w:numPr>
          <w:ilvl w:val="0"/>
          <w:numId w:val="6"/>
        </w:numPr>
        <w:bidi/>
        <w:rPr>
          <w:rFonts w:hint="cs"/>
          <w:b/>
          <w:bCs/>
          <w:sz w:val="24"/>
          <w:szCs w:val="24"/>
          <w:lang w:bidi="he-IL"/>
        </w:rPr>
      </w:pPr>
      <w:r>
        <w:rPr>
          <w:rFonts w:hint="cs"/>
          <w:b/>
          <w:bCs/>
          <w:sz w:val="24"/>
          <w:szCs w:val="24"/>
          <w:u w:val="single"/>
          <w:rtl/>
          <w:lang w:bidi="he-IL"/>
        </w:rPr>
        <w:t>להלן הליך הטיפול במקרה של אבדן / גניבת דרכון במקדוניה:</w:t>
      </w:r>
    </w:p>
    <w:p w:rsidR="001E688A" w:rsidRPr="00A1079F" w:rsidRDefault="001E688A" w:rsidP="001E688A">
      <w:pPr>
        <w:pStyle w:val="ListParagraph"/>
        <w:bidi/>
        <w:ind w:left="780"/>
        <w:rPr>
          <w:b/>
          <w:bCs/>
          <w:sz w:val="24"/>
          <w:szCs w:val="24"/>
          <w:rtl/>
          <w:lang w:bidi="he-IL"/>
        </w:rPr>
      </w:pPr>
    </w:p>
    <w:p w:rsidR="001E688A" w:rsidRDefault="001E688A" w:rsidP="001E688A">
      <w:pPr>
        <w:pStyle w:val="ListParagraph"/>
        <w:numPr>
          <w:ilvl w:val="0"/>
          <w:numId w:val="8"/>
        </w:num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יש לפנות לתחנת המשטרה המקומית ולדווח על אבדן/גניבת הדרכון. השוטר המקומי ימסור לפונה (באותו מעמד)  מסמך עם פרטי הדיווח. </w:t>
      </w:r>
    </w:p>
    <w:p w:rsidR="001E688A" w:rsidRPr="00B5790D" w:rsidRDefault="001E688A" w:rsidP="001E688A">
      <w:pPr>
        <w:pStyle w:val="ListParagraph"/>
        <w:numPr>
          <w:ilvl w:val="0"/>
          <w:numId w:val="8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המשטרה המקומית תפנה את האזרח ל'יחידה לטיפול בזרים', שם  יקבלו את הבקשה לניפוק מסמך נסיעה לזרים. הטיפול בבקשה  נמשך </w:t>
      </w:r>
      <w:r>
        <w:rPr>
          <w:rFonts w:hint="cs"/>
          <w:b/>
          <w:bCs/>
          <w:rtl/>
          <w:lang w:bidi="he-IL"/>
        </w:rPr>
        <w:t xml:space="preserve"> </w:t>
      </w:r>
      <w:r w:rsidRPr="003F792C">
        <w:rPr>
          <w:rFonts w:hint="cs"/>
          <w:b/>
          <w:bCs/>
          <w:rtl/>
          <w:lang w:bidi="he-IL"/>
        </w:rPr>
        <w:t>מינימום 15 ימי עבודה</w:t>
      </w:r>
      <w:r>
        <w:rPr>
          <w:rFonts w:hint="cs"/>
          <w:b/>
          <w:bCs/>
          <w:rtl/>
          <w:lang w:bidi="he-IL"/>
        </w:rPr>
        <w:t xml:space="preserve"> </w:t>
      </w:r>
      <w:r w:rsidRPr="00B5790D">
        <w:rPr>
          <w:rFonts w:hint="cs"/>
          <w:rtl/>
          <w:lang w:bidi="he-IL"/>
        </w:rPr>
        <w:t>(ע"פ החוק המקומי),</w:t>
      </w:r>
      <w:r>
        <w:rPr>
          <w:rFonts w:hint="cs"/>
          <w:rtl/>
          <w:lang w:bidi="he-IL"/>
        </w:rPr>
        <w:t xml:space="preserve"> כשבסוף התהליך, ניתן יהיה לאסוף את מסמך הנסיעה ממשרד הפנים המקומי, </w:t>
      </w:r>
      <w:r>
        <w:rPr>
          <w:rFonts w:hint="cs"/>
          <w:b/>
          <w:bCs/>
          <w:u w:val="single"/>
          <w:rtl/>
          <w:lang w:bidi="he-IL"/>
        </w:rPr>
        <w:t>בעיר סקופיה</w:t>
      </w:r>
      <w:r w:rsidRPr="003F792C">
        <w:rPr>
          <w:rFonts w:hint="cs"/>
          <w:b/>
          <w:bCs/>
          <w:u w:val="single"/>
          <w:rtl/>
          <w:lang w:bidi="he-IL"/>
        </w:rPr>
        <w:t>.</w:t>
      </w:r>
    </w:p>
    <w:p w:rsidR="001E688A" w:rsidRPr="00B5790D" w:rsidRDefault="001E688A" w:rsidP="001E688A">
      <w:pPr>
        <w:pStyle w:val="ListParagraph"/>
        <w:numPr>
          <w:ilvl w:val="0"/>
          <w:numId w:val="8"/>
        </w:numPr>
        <w:bidi/>
        <w:rPr>
          <w:rtl/>
          <w:lang w:bidi="he-IL"/>
        </w:rPr>
      </w:pPr>
      <w:r w:rsidRPr="00B5790D">
        <w:rPr>
          <w:rFonts w:hint="cs"/>
          <w:rtl/>
          <w:lang w:bidi="he-IL"/>
        </w:rPr>
        <w:t>ניפוק מסמך הנסיעה כרוך בתשלום של כ-50 אירו</w:t>
      </w:r>
      <w:r w:rsidRPr="00B5790D">
        <w:rPr>
          <w:rFonts w:hint="cs"/>
          <w:b/>
          <w:bCs/>
          <w:rtl/>
          <w:lang w:bidi="he-IL"/>
        </w:rPr>
        <w:t xml:space="preserve">. </w:t>
      </w:r>
      <w:r>
        <w:rPr>
          <w:rFonts w:hint="cs"/>
          <w:rtl/>
          <w:lang w:bidi="he-IL"/>
        </w:rPr>
        <w:t>(התשלום במטבע מקומי, דינר מקדוני)</w:t>
      </w:r>
    </w:p>
    <w:p w:rsidR="001E688A" w:rsidRDefault="001E688A" w:rsidP="001E688A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מסמך הנסיעה לזרים מאפשר  יציאה  ממקדוניה וטיסה ישירה לישראל או לחילופין מעבר במדינה שלישית, בדרך לישראל (מותנה בהצטיידות באשרה, במידה וההגעה לאותה מדינה מצריכה אשרה במסמך נסיעה מקדוני).</w:t>
      </w:r>
    </w:p>
    <w:p w:rsidR="001E688A" w:rsidRDefault="001E688A" w:rsidP="001E688A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 מדינות אירופאיות שאינן דורשות אשרה במסמך המקדוני הנ"ל:</w:t>
      </w:r>
    </w:p>
    <w:p w:rsidR="001E688A" w:rsidRDefault="001E688A" w:rsidP="001E688A">
      <w:pPr>
        <w:rPr>
          <w:lang w:val="es-ES"/>
        </w:rPr>
      </w:pPr>
      <w:r>
        <w:rPr>
          <w:lang w:val="es-ES"/>
        </w:rPr>
        <w:t xml:space="preserve">BOSNA AND HERZEGOVINA,  BULGARIA,  </w:t>
      </w:r>
      <w:r>
        <w:t xml:space="preserve">CROATIA,  CYPRUS,  THE CZECH REPUBLIC,  </w:t>
      </w:r>
      <w:r>
        <w:rPr>
          <w:lang w:val="es-ES"/>
        </w:rPr>
        <w:t xml:space="preserve">DENMARK,  ESTONIA,  </w:t>
      </w:r>
      <w:r>
        <w:t xml:space="preserve">FINLAND , FRANCE,  </w:t>
      </w:r>
      <w:r>
        <w:rPr>
          <w:lang w:val="es-ES"/>
        </w:rPr>
        <w:t xml:space="preserve">GERMANY,  GREECE,  HUNGARY,  ISRAEL,  ITALY,  KOSOVO,  LATVIA,  LITUANIA, LUXEMBURG,  MALTA,  MONACO,  </w:t>
      </w:r>
      <w:r>
        <w:t xml:space="preserve">MONTENEGRO,  THE NETHERLANDS,  </w:t>
      </w:r>
      <w:r>
        <w:rPr>
          <w:lang w:val="es-ES"/>
        </w:rPr>
        <w:t>NORWAY,  POLAND, PORTUGAL,  ROMANIA,  SAN MARINO,  SERBIA,  SLOVAKIA,  SLOVENIA,  SPAIN,  SWEDEN,  TUNISIA, TURKEY,  UKRAINA</w:t>
      </w:r>
      <w:r>
        <w:t>,</w:t>
      </w:r>
      <w:r>
        <w:rPr>
          <w:lang w:val="es-ES"/>
        </w:rPr>
        <w:t xml:space="preserve">  VATICAN .</w:t>
      </w:r>
    </w:p>
    <w:p w:rsidR="001E688A" w:rsidRDefault="001E688A" w:rsidP="001E688A">
      <w:pPr>
        <w:bidi/>
        <w:rPr>
          <w:rtl/>
          <w:lang w:val="es-ES" w:bidi="he-IL"/>
        </w:rPr>
      </w:pPr>
      <w:r>
        <w:rPr>
          <w:rFonts w:hint="cs"/>
          <w:rtl/>
          <w:lang w:val="es-ES" w:bidi="he-IL"/>
        </w:rPr>
        <w:t>לרשימת המדינות המלאה</w:t>
      </w:r>
      <w:r>
        <w:rPr>
          <w:lang w:val="es-ES" w:bidi="he-IL"/>
        </w:rPr>
        <w:t>:</w:t>
      </w:r>
    </w:p>
    <w:p w:rsidR="001E688A" w:rsidRDefault="001E688A" w:rsidP="001E688A">
      <w:pPr>
        <w:bidi/>
        <w:rPr>
          <w:rtl/>
          <w:lang w:val="es-ES" w:bidi="he-IL"/>
        </w:rPr>
      </w:pPr>
      <w:hyperlink r:id="rId21" w:history="1">
        <w:r w:rsidRPr="00CE2BC1">
          <w:rPr>
            <w:rStyle w:val="Hyperlink"/>
            <w:lang w:val="es-ES" w:bidi="he-IL"/>
          </w:rPr>
          <w:t>http://www.mfa.gov.mk/index.php?option=com_content&amp;view=article&amp;id=131&amp;Itemid=433&amp;lang=en</w:t>
        </w:r>
      </w:hyperlink>
    </w:p>
    <w:p w:rsidR="00785338" w:rsidRPr="00785338" w:rsidRDefault="00785338" w:rsidP="00785338">
      <w:pPr>
        <w:bidi/>
        <w:rPr>
          <w:rtl/>
          <w:lang w:bidi="he-IL"/>
        </w:rPr>
      </w:pPr>
    </w:p>
    <w:p w:rsidR="005863D5" w:rsidRPr="00785338" w:rsidRDefault="005863D5" w:rsidP="00ED7C8F">
      <w:pPr>
        <w:bidi/>
        <w:rPr>
          <w:lang w:bidi="he-IL"/>
        </w:rPr>
      </w:pPr>
      <w:bookmarkStart w:id="2" w:name="_GoBack"/>
      <w:bookmarkEnd w:id="2"/>
    </w:p>
    <w:sectPr w:rsidR="005863D5" w:rsidRPr="0078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CC3"/>
    <w:multiLevelType w:val="hybridMultilevel"/>
    <w:tmpl w:val="4C36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280"/>
    <w:multiLevelType w:val="hybridMultilevel"/>
    <w:tmpl w:val="419C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598E"/>
    <w:multiLevelType w:val="hybridMultilevel"/>
    <w:tmpl w:val="C2C2FD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4A6BF3"/>
    <w:multiLevelType w:val="hybridMultilevel"/>
    <w:tmpl w:val="3DCAC74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7E6680D"/>
    <w:multiLevelType w:val="hybridMultilevel"/>
    <w:tmpl w:val="30EC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275E3"/>
    <w:multiLevelType w:val="hybridMultilevel"/>
    <w:tmpl w:val="8A9AAEC0"/>
    <w:lvl w:ilvl="0" w:tplc="EE6C4CCC">
      <w:start w:val="1"/>
      <w:numFmt w:val="hebrew1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1740"/>
    <w:multiLevelType w:val="hybridMultilevel"/>
    <w:tmpl w:val="3076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832C1"/>
    <w:multiLevelType w:val="hybridMultilevel"/>
    <w:tmpl w:val="15A2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38"/>
    <w:rsid w:val="00071C74"/>
    <w:rsid w:val="001E688A"/>
    <w:rsid w:val="005863D5"/>
    <w:rsid w:val="00771834"/>
    <w:rsid w:val="00785338"/>
    <w:rsid w:val="00A1079F"/>
    <w:rsid w:val="00C329B0"/>
    <w:rsid w:val="00D63582"/>
    <w:rsid w:val="00E077A8"/>
    <w:rsid w:val="00ED7C8F"/>
    <w:rsid w:val="00F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3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3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k-cba.hr/en" TargetMode="External"/><Relationship Id="rId18" Type="http://schemas.openxmlformats.org/officeDocument/2006/relationships/hyperlink" Target="http://www.moin.gov.i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fa.gov.mk/index.php?option=com_content&amp;view=article&amp;id=131&amp;Itemid=433&amp;lang=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fa.gov.il/MFAHeb/Sherut/Tfasim/" TargetMode="External"/><Relationship Id="rId17" Type="http://schemas.openxmlformats.org/officeDocument/2006/relationships/hyperlink" Target="http://www.hcch.net/index_en.php?act=conventions.authorities&amp;cid=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fa.gov.il/mfaheb/feedbackform.htm" TargetMode="External"/><Relationship Id="rId20" Type="http://schemas.openxmlformats.org/officeDocument/2006/relationships/hyperlink" Target="http://www.justice.gov.il/NR/rdonlyres/9640D707-9805-49C2-A90E-529E54BF849D/0/hokmirsham.doc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fa.gov.il/MFAHeb/Sherut/Ashrot/ashrot.htm" TargetMode="External"/><Relationship Id="rId5" Type="http://schemas.openxmlformats.org/officeDocument/2006/relationships/styles" Target="styles.xml"/><Relationship Id="rId15" Type="http://schemas.openxmlformats.org/officeDocument/2006/relationships/hyperlink" Target="mailto:consularit@zagreb.mfa.gov.i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fa.gov.il/MFAHeb/Sherut/Consular+service/Consular_service.htm" TargetMode="External"/><Relationship Id="rId19" Type="http://schemas.openxmlformats.org/officeDocument/2006/relationships/hyperlink" Target="http://www.btl.gov.il/laws/btlLaws.aspx?lawid=799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zagreb.mfa.gov.il/mfm/web/main/document.asp?SubjectID=7060&amp;MissionID=169501&amp;LanguageID=0&amp;StatusID=0&amp;DocumentID=-1" TargetMode="External"/><Relationship Id="rId14" Type="http://schemas.openxmlformats.org/officeDocument/2006/relationships/hyperlink" Target="http://www.jewishagency.org/JewishAgency/Hebrew/Home/info/offices+in+the+diaspor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386C25-17CF-4686-BC26-7971DC45309E}"/>
</file>

<file path=customXml/itemProps2.xml><?xml version="1.0" encoding="utf-8"?>
<ds:datastoreItem xmlns:ds="http://schemas.openxmlformats.org/officeDocument/2006/customXml" ds:itemID="{21437C46-408A-4EE9-B113-72147765ADC7}"/>
</file>

<file path=customXml/itemProps3.xml><?xml version="1.0" encoding="utf-8"?>
<ds:datastoreItem xmlns:ds="http://schemas.openxmlformats.org/officeDocument/2006/customXml" ds:itemID="{378DF0C9-BF48-4CA2-BB76-26CF6F9CF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hebrewConsular</vt:lpstr>
    </vt:vector>
  </TitlesOfParts>
  <Company>Mfa.gov.il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hebrewConsular</dc:title>
  <dc:creator>Handasa</dc:creator>
  <cp:lastModifiedBy>User</cp:lastModifiedBy>
  <cp:revision>3</cp:revision>
  <dcterms:created xsi:type="dcterms:W3CDTF">2017-11-16T08:43:00Z</dcterms:created>
  <dcterms:modified xsi:type="dcterms:W3CDTF">2017-11-16T08:46:00Z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